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Ontario Bill 60 ERO </w:t>
      </w:r>
      <w:r w:rsidDel="00000000" w:rsidR="00000000" w:rsidRPr="00000000">
        <w:rPr>
          <w:sz w:val="24"/>
          <w:szCs w:val="24"/>
          <w:highlight w:val="white"/>
          <w:rtl w:val="0"/>
        </w:rPr>
        <w:t xml:space="preserve">025-1071 Standing Committee </w:t>
      </w:r>
      <w:r w:rsidDel="00000000" w:rsidR="00000000" w:rsidRPr="00000000">
        <w:rPr>
          <w:rtl w:val="0"/>
        </w:rPr>
      </w:r>
    </w:p>
    <w:p w:rsidR="00000000" w:rsidDel="00000000" w:rsidP="00000000" w:rsidRDefault="00000000" w:rsidRPr="00000000" w14:paraId="00000002">
      <w:pPr>
        <w:rPr>
          <w:sz w:val="24"/>
          <w:szCs w:val="24"/>
          <w:highlight w:val="white"/>
        </w:rPr>
      </w:pPr>
      <w:hyperlink r:id="rId6">
        <w:r w:rsidDel="00000000" w:rsidR="00000000" w:rsidRPr="00000000">
          <w:rPr>
            <w:sz w:val="24"/>
            <w:szCs w:val="24"/>
            <w:highlight w:val="white"/>
            <w:u w:val="single"/>
            <w:rtl w:val="0"/>
          </w:rPr>
          <w:t xml:space="preserve">Fighting Delays, Building Faster Act, 2025</w:t>
        </w:r>
      </w:hyperlink>
      <w:r w:rsidDel="00000000" w:rsidR="00000000" w:rsidRPr="00000000">
        <w:rPr>
          <w:rtl w:val="0"/>
        </w:rPr>
        <w:t xml:space="preserve"> </w:t>
      </w:r>
      <w:r w:rsidDel="00000000" w:rsidR="00000000" w:rsidRPr="00000000">
        <w:rPr>
          <w:sz w:val="24"/>
          <w:szCs w:val="24"/>
          <w:highlight w:val="white"/>
          <w:rtl w:val="0"/>
        </w:rPr>
        <w:t xml:space="preserve"> Timeline Nov 22/25 </w:t>
      </w:r>
    </w:p>
    <w:p w:rsidR="00000000" w:rsidDel="00000000" w:rsidP="00000000" w:rsidRDefault="00000000" w:rsidRPr="00000000" w14:paraId="00000003">
      <w:pPr>
        <w:spacing w:after="240" w:before="240" w:lineRule="auto"/>
        <w:rPr>
          <w:sz w:val="24"/>
          <w:szCs w:val="24"/>
          <w:highlight w:val="white"/>
        </w:rPr>
      </w:pPr>
      <w:r w:rsidDel="00000000" w:rsidR="00000000" w:rsidRPr="00000000">
        <w:rPr>
          <w:b w:val="1"/>
          <w:sz w:val="24"/>
          <w:szCs w:val="24"/>
          <w:highlight w:val="white"/>
          <w:rtl w:val="0"/>
        </w:rPr>
        <w:t xml:space="preserve">Date:</w:t>
      </w:r>
      <w:r w:rsidDel="00000000" w:rsidR="00000000" w:rsidRPr="00000000">
        <w:rPr>
          <w:sz w:val="24"/>
          <w:szCs w:val="24"/>
          <w:highlight w:val="white"/>
          <w:rtl w:val="0"/>
        </w:rPr>
        <w:t xml:space="preserve"> November 2025</w:t>
      </w:r>
    </w:p>
    <w:p w:rsidR="00000000" w:rsidDel="00000000" w:rsidP="00000000" w:rsidRDefault="00000000" w:rsidRPr="00000000" w14:paraId="00000004">
      <w:pPr>
        <w:spacing w:after="240" w:before="240" w:lineRule="auto"/>
        <w:rPr>
          <w:b w:val="1"/>
          <w:sz w:val="24"/>
          <w:szCs w:val="24"/>
          <w:highlight w:val="white"/>
        </w:rPr>
      </w:pPr>
      <w:r w:rsidDel="00000000" w:rsidR="00000000" w:rsidRPr="00000000">
        <w:rPr>
          <w:b w:val="1"/>
          <w:sz w:val="24"/>
          <w:szCs w:val="24"/>
          <w:highlight w:val="white"/>
          <w:rtl w:val="0"/>
        </w:rPr>
        <w:t xml:space="preserve">To:</w:t>
      </w:r>
    </w:p>
    <w:p w:rsidR="00000000" w:rsidDel="00000000" w:rsidP="00000000" w:rsidRDefault="00000000" w:rsidRPr="00000000" w14:paraId="00000005">
      <w:pPr>
        <w:numPr>
          <w:ilvl w:val="0"/>
          <w:numId w:val="1"/>
        </w:numPr>
        <w:spacing w:after="0" w:afterAutospacing="0" w:before="240" w:lineRule="auto"/>
        <w:ind w:left="720" w:hanging="360"/>
        <w:rPr>
          <w:sz w:val="24"/>
          <w:szCs w:val="24"/>
          <w:highlight w:val="white"/>
        </w:rPr>
      </w:pPr>
      <w:r w:rsidDel="00000000" w:rsidR="00000000" w:rsidRPr="00000000">
        <w:rPr>
          <w:sz w:val="24"/>
          <w:szCs w:val="24"/>
          <w:highlight w:val="white"/>
          <w:rtl w:val="0"/>
        </w:rPr>
        <w:t xml:space="preserve">Standing Committee on Finance and Economic Affairs, Ontario Legislature</w:t>
      </w:r>
    </w:p>
    <w:p w:rsidR="00000000" w:rsidDel="00000000" w:rsidP="00000000" w:rsidRDefault="00000000" w:rsidRPr="00000000" w14:paraId="00000006">
      <w:pPr>
        <w:numPr>
          <w:ilvl w:val="0"/>
          <w:numId w:val="1"/>
        </w:numP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Minister Flack, Ministry of Municipal Affairs and Housing</w:t>
      </w:r>
    </w:p>
    <w:p w:rsidR="00000000" w:rsidDel="00000000" w:rsidP="00000000" w:rsidRDefault="00000000" w:rsidRPr="00000000" w14:paraId="00000007">
      <w:pPr>
        <w:spacing w:after="240" w:before="240" w:lineRule="auto"/>
        <w:rPr>
          <w:sz w:val="24"/>
          <w:szCs w:val="24"/>
          <w:highlight w:val="white"/>
        </w:rPr>
      </w:pPr>
      <w:r w:rsidDel="00000000" w:rsidR="00000000" w:rsidRPr="00000000">
        <w:rPr>
          <w:b w:val="1"/>
          <w:sz w:val="24"/>
          <w:szCs w:val="24"/>
          <w:highlight w:val="white"/>
          <w:rtl w:val="0"/>
        </w:rPr>
        <w:t xml:space="preserve">Subject:</w:t>
      </w:r>
      <w:r w:rsidDel="00000000" w:rsidR="00000000" w:rsidRPr="00000000">
        <w:rPr>
          <w:sz w:val="24"/>
          <w:szCs w:val="24"/>
          <w:highlight w:val="white"/>
          <w:rtl w:val="0"/>
        </w:rPr>
        <w:t xml:space="preserve"> Submission on Bill 60 – </w:t>
      </w:r>
      <w:r w:rsidDel="00000000" w:rsidR="00000000" w:rsidRPr="00000000">
        <w:rPr>
          <w:i w:val="1"/>
          <w:sz w:val="24"/>
          <w:szCs w:val="24"/>
          <w:highlight w:val="white"/>
          <w:rtl w:val="0"/>
        </w:rPr>
        <w:t xml:space="preserve">Fighting Delays, Building Faster Act, 2025</w:t>
      </w:r>
      <w:r w:rsidDel="00000000" w:rsidR="00000000" w:rsidRPr="00000000">
        <w:rPr>
          <w:rtl w:val="0"/>
        </w:rPr>
      </w:r>
    </w:p>
    <w:p w:rsidR="00000000" w:rsidDel="00000000" w:rsidP="00000000" w:rsidRDefault="00000000" w:rsidRPr="00000000" w14:paraId="00000008">
      <w:pPr>
        <w:spacing w:after="240" w:before="240" w:lineRule="auto"/>
        <w:rPr>
          <w:b w:val="1"/>
          <w:sz w:val="24"/>
          <w:szCs w:val="24"/>
          <w:highlight w:val="white"/>
        </w:rPr>
      </w:pPr>
      <w:r w:rsidDel="00000000" w:rsidR="00000000" w:rsidRPr="00000000">
        <w:rPr>
          <w:b w:val="1"/>
          <w:sz w:val="24"/>
          <w:szCs w:val="24"/>
          <w:highlight w:val="white"/>
          <w:rtl w:val="0"/>
        </w:rPr>
        <w:t xml:space="preserve">Dear Members of the Standing Committee and Minister Flack,</w:t>
      </w:r>
    </w:p>
    <w:p w:rsidR="00000000" w:rsidDel="00000000" w:rsidP="00000000" w:rsidRDefault="00000000" w:rsidRPr="00000000" w14:paraId="00000009">
      <w:pPr>
        <w:spacing w:after="240" w:before="240" w:lineRule="auto"/>
        <w:rPr>
          <w:sz w:val="24"/>
          <w:szCs w:val="24"/>
          <w:highlight w:val="white"/>
        </w:rPr>
      </w:pPr>
      <w:r w:rsidDel="00000000" w:rsidR="00000000" w:rsidRPr="00000000">
        <w:rPr>
          <w:sz w:val="24"/>
          <w:szCs w:val="24"/>
          <w:highlight w:val="white"/>
          <w:rtl w:val="0"/>
        </w:rPr>
        <w:t xml:space="preserve">This letter provides comment on Bill 60, </w:t>
      </w:r>
      <w:r w:rsidDel="00000000" w:rsidR="00000000" w:rsidRPr="00000000">
        <w:rPr>
          <w:i w:val="1"/>
          <w:sz w:val="24"/>
          <w:szCs w:val="24"/>
          <w:highlight w:val="white"/>
          <w:rtl w:val="0"/>
        </w:rPr>
        <w:t xml:space="preserve">Fighting Delays, Building Faster Act, 2025</w:t>
      </w:r>
      <w:r w:rsidDel="00000000" w:rsidR="00000000" w:rsidRPr="00000000">
        <w:rPr>
          <w:sz w:val="24"/>
          <w:szCs w:val="24"/>
          <w:highlight w:val="white"/>
          <w:rtl w:val="0"/>
        </w:rPr>
        <w:t xml:space="preserve">, with a focus on the environmental, governance, and transparency implications of key schedules affecting Ontario’s climate commitments, water systems, land use, and public oversight. I support the growth of clean grid public transit across the province. However, while Bill 60 seeks to accelerate infrastructure delivery, the proposed amendments significantly weaken environmental and climate safeguards, limit public and municipal oversight, and reduce transparency, creating risks of long-term negative impacts on Ontario’s climate commitments, water quality, natural heritage, and community resilience.</w:t>
      </w:r>
    </w:p>
    <w:p w:rsidR="00000000" w:rsidDel="00000000" w:rsidP="00000000" w:rsidRDefault="00000000" w:rsidRPr="00000000" w14:paraId="0000000A">
      <w:pPr>
        <w:pStyle w:val="Heading3"/>
        <w:keepNext w:val="0"/>
        <w:keepLines w:val="0"/>
        <w:spacing w:before="280" w:lineRule="auto"/>
        <w:rPr>
          <w:b w:val="1"/>
          <w:color w:val="000000"/>
          <w:sz w:val="24"/>
          <w:szCs w:val="24"/>
          <w:highlight w:val="white"/>
        </w:rPr>
      </w:pPr>
      <w:bookmarkStart w:colFirst="0" w:colLast="0" w:name="_r90o41n3uaj3" w:id="0"/>
      <w:bookmarkEnd w:id="0"/>
      <w:r w:rsidDel="00000000" w:rsidR="00000000" w:rsidRPr="00000000">
        <w:rPr>
          <w:b w:val="1"/>
          <w:color w:val="000000"/>
          <w:sz w:val="24"/>
          <w:szCs w:val="24"/>
          <w:highlight w:val="white"/>
          <w:rtl w:val="0"/>
        </w:rPr>
        <w:t xml:space="preserve">Key Schedule Concerns</w:t>
      </w:r>
    </w:p>
    <w:p w:rsidR="00000000" w:rsidDel="00000000" w:rsidP="00000000" w:rsidRDefault="00000000" w:rsidRPr="00000000" w14:paraId="0000000B">
      <w:pPr>
        <w:pStyle w:val="Heading3"/>
        <w:keepNext w:val="0"/>
        <w:keepLines w:val="0"/>
        <w:spacing w:before="280" w:lineRule="auto"/>
        <w:rPr>
          <w:b w:val="1"/>
          <w:color w:val="000000"/>
          <w:sz w:val="22"/>
          <w:szCs w:val="22"/>
          <w:highlight w:val="white"/>
        </w:rPr>
      </w:pPr>
      <w:bookmarkStart w:colFirst="0" w:colLast="0" w:name="_j3jomnn8q65x" w:id="1"/>
      <w:bookmarkEnd w:id="1"/>
      <w:r w:rsidDel="00000000" w:rsidR="00000000" w:rsidRPr="00000000">
        <w:rPr>
          <w:b w:val="1"/>
          <w:color w:val="000000"/>
          <w:sz w:val="22"/>
          <w:szCs w:val="22"/>
          <w:highlight w:val="white"/>
          <w:rtl w:val="0"/>
        </w:rPr>
        <w:t xml:space="preserve">Schedule 1 – Building Transit Faster Act, 2020</w:t>
      </w:r>
    </w:p>
    <w:p w:rsidR="00000000" w:rsidDel="00000000" w:rsidP="00000000" w:rsidRDefault="00000000" w:rsidRPr="00000000" w14:paraId="0000000C">
      <w:pPr>
        <w:numPr>
          <w:ilvl w:val="0"/>
          <w:numId w:val="10"/>
        </w:numPr>
        <w:spacing w:after="0" w:afterAutospacing="0" w:before="240" w:lineRule="auto"/>
        <w:ind w:left="720" w:hanging="360"/>
        <w:rPr>
          <w:highlight w:val="white"/>
        </w:rPr>
      </w:pPr>
      <w:r w:rsidDel="00000000" w:rsidR="00000000" w:rsidRPr="00000000">
        <w:rPr>
          <w:b w:val="1"/>
          <w:highlight w:val="white"/>
          <w:rtl w:val="0"/>
        </w:rPr>
        <w:t xml:space="preserve">Concern:</w:t>
      </w:r>
      <w:r w:rsidDel="00000000" w:rsidR="00000000" w:rsidRPr="00000000">
        <w:rPr>
          <w:highlight w:val="white"/>
          <w:rtl w:val="0"/>
        </w:rPr>
        <w:t xml:space="preserve"> Broad ministerial and Metrolinx powers to alter municipal infrastructure may bypass local review and limit democratic oversight.</w:t>
      </w:r>
    </w:p>
    <w:p w:rsidR="00000000" w:rsidDel="00000000" w:rsidP="00000000" w:rsidRDefault="00000000" w:rsidRPr="00000000" w14:paraId="0000000D">
      <w:pPr>
        <w:numPr>
          <w:ilvl w:val="0"/>
          <w:numId w:val="10"/>
        </w:numPr>
        <w:spacing w:after="240" w:before="0" w:beforeAutospacing="0" w:lineRule="auto"/>
        <w:ind w:left="720" w:hanging="360"/>
        <w:rPr>
          <w:highlight w:val="white"/>
        </w:rPr>
      </w:pPr>
      <w:r w:rsidDel="00000000" w:rsidR="00000000" w:rsidRPr="00000000">
        <w:rPr>
          <w:b w:val="1"/>
          <w:highlight w:val="white"/>
          <w:rtl w:val="0"/>
        </w:rPr>
        <w:t xml:space="preserve">Risk:</w:t>
      </w:r>
      <w:r w:rsidDel="00000000" w:rsidR="00000000" w:rsidRPr="00000000">
        <w:rPr>
          <w:highlight w:val="white"/>
          <w:rtl w:val="0"/>
        </w:rPr>
        <w:t xml:space="preserve"> Shortened notice periods (15 days) reduce opportunity for municipalities, experts, and the public to identify climate or environmental impacts.</w:t>
      </w:r>
    </w:p>
    <w:p w:rsidR="00000000" w:rsidDel="00000000" w:rsidP="00000000" w:rsidRDefault="00000000" w:rsidRPr="00000000" w14:paraId="0000000E">
      <w:pPr>
        <w:spacing w:after="240" w:before="240" w:lineRule="auto"/>
        <w:rPr>
          <w:b w:val="1"/>
          <w:sz w:val="22"/>
          <w:szCs w:val="22"/>
          <w:highlight w:val="white"/>
        </w:rPr>
      </w:pPr>
      <w:r w:rsidDel="00000000" w:rsidR="00000000" w:rsidRPr="00000000">
        <w:rPr>
          <w:b w:val="1"/>
          <w:sz w:val="22"/>
          <w:szCs w:val="22"/>
          <w:highlight w:val="white"/>
          <w:rtl w:val="0"/>
        </w:rPr>
        <w:t xml:space="preserve">Schedule 3 – Development Charges Act, 1997</w:t>
      </w:r>
    </w:p>
    <w:p w:rsidR="00000000" w:rsidDel="00000000" w:rsidP="00000000" w:rsidRDefault="00000000" w:rsidRPr="00000000" w14:paraId="0000000F">
      <w:pPr>
        <w:numPr>
          <w:ilvl w:val="0"/>
          <w:numId w:val="5"/>
        </w:numPr>
        <w:spacing w:after="0" w:afterAutospacing="0" w:before="240" w:lineRule="auto"/>
        <w:ind w:left="720" w:hanging="360"/>
        <w:rPr>
          <w:highlight w:val="white"/>
        </w:rPr>
      </w:pPr>
      <w:r w:rsidDel="00000000" w:rsidR="00000000" w:rsidRPr="00000000">
        <w:rPr>
          <w:b w:val="1"/>
          <w:highlight w:val="white"/>
          <w:rtl w:val="0"/>
        </w:rPr>
        <w:t xml:space="preserve">Concern:</w:t>
      </w:r>
      <w:r w:rsidDel="00000000" w:rsidR="00000000" w:rsidRPr="00000000">
        <w:rPr>
          <w:highlight w:val="white"/>
          <w:rtl w:val="0"/>
        </w:rPr>
        <w:t xml:space="preserve"> Ministerial review of municipal development charges centralizes decision-making and reduces local accountability.</w:t>
      </w:r>
    </w:p>
    <w:p w:rsidR="00000000" w:rsidDel="00000000" w:rsidP="00000000" w:rsidRDefault="00000000" w:rsidRPr="00000000" w14:paraId="00000010">
      <w:pPr>
        <w:numPr>
          <w:ilvl w:val="0"/>
          <w:numId w:val="5"/>
        </w:numPr>
        <w:spacing w:after="240" w:before="0" w:beforeAutospacing="0" w:lineRule="auto"/>
        <w:ind w:left="720" w:hanging="360"/>
        <w:rPr>
          <w:highlight w:val="white"/>
        </w:rPr>
      </w:pPr>
      <w:r w:rsidDel="00000000" w:rsidR="00000000" w:rsidRPr="00000000">
        <w:rPr>
          <w:b w:val="1"/>
          <w:highlight w:val="white"/>
          <w:rtl w:val="0"/>
        </w:rPr>
        <w:t xml:space="preserve">Risk:</w:t>
      </w:r>
      <w:r w:rsidDel="00000000" w:rsidR="00000000" w:rsidRPr="00000000">
        <w:rPr>
          <w:highlight w:val="white"/>
          <w:rtl w:val="0"/>
        </w:rPr>
        <w:t xml:space="preserve"> Development funding decisions may not adequately reflect climate priorities or support sustainable infrastructure.</w:t>
      </w:r>
    </w:p>
    <w:p w:rsidR="00000000" w:rsidDel="00000000" w:rsidP="00000000" w:rsidRDefault="00000000" w:rsidRPr="00000000" w14:paraId="00000011">
      <w:pPr>
        <w:spacing w:after="240" w:before="240" w:lineRule="auto"/>
        <w:rPr>
          <w:b w:val="1"/>
          <w:highlight w:val="white"/>
        </w:rPr>
      </w:pPr>
      <w:r w:rsidDel="00000000" w:rsidR="00000000" w:rsidRPr="00000000">
        <w:rPr>
          <w:b w:val="1"/>
          <w:highlight w:val="white"/>
          <w:rtl w:val="0"/>
        </w:rPr>
        <w:t xml:space="preserve">Schedule 5 - Highway Traffic Act</w:t>
      </w:r>
    </w:p>
    <w:p w:rsidR="00000000" w:rsidDel="00000000" w:rsidP="00000000" w:rsidRDefault="00000000" w:rsidRPr="00000000" w14:paraId="00000012">
      <w:pPr>
        <w:numPr>
          <w:ilvl w:val="0"/>
          <w:numId w:val="3"/>
        </w:numPr>
        <w:spacing w:after="0" w:afterAutospacing="0" w:before="240" w:lineRule="auto"/>
        <w:ind w:left="720" w:hanging="360"/>
        <w:rPr>
          <w:highlight w:val="white"/>
        </w:rPr>
      </w:pPr>
      <w:r w:rsidDel="00000000" w:rsidR="00000000" w:rsidRPr="00000000">
        <w:rPr>
          <w:b w:val="1"/>
          <w:highlight w:val="white"/>
          <w:rtl w:val="0"/>
        </w:rPr>
        <w:t xml:space="preserve"> Concern:</w:t>
        <w:br w:type="textWrapping"/>
      </w:r>
      <w:r w:rsidDel="00000000" w:rsidR="00000000" w:rsidRPr="00000000">
        <w:rPr>
          <w:highlight w:val="white"/>
          <w:rtl w:val="0"/>
        </w:rPr>
        <w:t xml:space="preserve">The standing committee version maintains the province’s authority to restrict municipalities from reducing vehicle lanes when adding bike or bus lanes, limiting local decision-making on transportation design. This centralisation reduces municipal flexibility to respond to community needs and mobility goals.</w:t>
      </w:r>
    </w:p>
    <w:p w:rsidR="00000000" w:rsidDel="00000000" w:rsidP="00000000" w:rsidRDefault="00000000" w:rsidRPr="00000000" w14:paraId="00000013">
      <w:pPr>
        <w:numPr>
          <w:ilvl w:val="0"/>
          <w:numId w:val="3"/>
        </w:numPr>
        <w:spacing w:after="240" w:before="0" w:beforeAutospacing="0" w:lineRule="auto"/>
        <w:ind w:left="720" w:hanging="360"/>
        <w:rPr>
          <w:highlight w:val="white"/>
        </w:rPr>
      </w:pPr>
      <w:r w:rsidDel="00000000" w:rsidR="00000000" w:rsidRPr="00000000">
        <w:rPr>
          <w:b w:val="1"/>
          <w:highlight w:val="white"/>
          <w:rtl w:val="0"/>
        </w:rPr>
        <w:t xml:space="preserve">Risk:</w:t>
        <w:br w:type="textWrapping"/>
      </w:r>
      <w:r w:rsidDel="00000000" w:rsidR="00000000" w:rsidRPr="00000000">
        <w:rPr>
          <w:highlight w:val="white"/>
          <w:rtl w:val="0"/>
        </w:rPr>
        <w:t xml:space="preserve">Constraining lane reallocation may hinder the creation of effective transit networks, slowing progress on climate objectives. Without clear exemption criteria or performance measures, the risk is that congestion concerns will override evidence-based transportation planning.</w:t>
      </w:r>
    </w:p>
    <w:p w:rsidR="00000000" w:rsidDel="00000000" w:rsidP="00000000" w:rsidRDefault="00000000" w:rsidRPr="00000000" w14:paraId="00000014">
      <w:pPr>
        <w:spacing w:after="240" w:before="240" w:lineRule="auto"/>
        <w:rPr>
          <w:b w:val="1"/>
          <w:sz w:val="22"/>
          <w:szCs w:val="22"/>
          <w:highlight w:val="white"/>
        </w:rPr>
      </w:pPr>
      <w:r w:rsidDel="00000000" w:rsidR="00000000" w:rsidRPr="00000000">
        <w:rPr>
          <w:b w:val="1"/>
          <w:sz w:val="22"/>
          <w:szCs w:val="22"/>
          <w:highlight w:val="white"/>
          <w:rtl w:val="0"/>
        </w:rPr>
        <w:t xml:space="preserve">Schedule 7 – Municipal Act, 2001</w:t>
      </w:r>
    </w:p>
    <w:p w:rsidR="00000000" w:rsidDel="00000000" w:rsidP="00000000" w:rsidRDefault="00000000" w:rsidRPr="00000000" w14:paraId="00000015">
      <w:pPr>
        <w:numPr>
          <w:ilvl w:val="0"/>
          <w:numId w:val="9"/>
        </w:numPr>
        <w:spacing w:after="0" w:afterAutospacing="0" w:before="240" w:lineRule="auto"/>
        <w:ind w:left="720" w:hanging="360"/>
        <w:rPr>
          <w:highlight w:val="white"/>
        </w:rPr>
      </w:pPr>
      <w:r w:rsidDel="00000000" w:rsidR="00000000" w:rsidRPr="00000000">
        <w:rPr>
          <w:b w:val="1"/>
          <w:highlight w:val="white"/>
          <w:rtl w:val="0"/>
        </w:rPr>
        <w:t xml:space="preserve">Governance Concern:</w:t>
      </w:r>
      <w:r w:rsidDel="00000000" w:rsidR="00000000" w:rsidRPr="00000000">
        <w:rPr>
          <w:highlight w:val="white"/>
          <w:rtl w:val="0"/>
        </w:rPr>
        <w:t xml:space="preserve"> Rapid transfer of water and wastewater utilities to local municipalities may leave gaps in oversight and continuity.</w:t>
      </w:r>
    </w:p>
    <w:p w:rsidR="00000000" w:rsidDel="00000000" w:rsidP="00000000" w:rsidRDefault="00000000" w:rsidRPr="00000000" w14:paraId="00000016">
      <w:pPr>
        <w:numPr>
          <w:ilvl w:val="0"/>
          <w:numId w:val="9"/>
        </w:numPr>
        <w:spacing w:after="240" w:before="0" w:beforeAutospacing="0" w:lineRule="auto"/>
        <w:ind w:left="720" w:hanging="360"/>
        <w:rPr>
          <w:highlight w:val="white"/>
        </w:rPr>
      </w:pPr>
      <w:r w:rsidDel="00000000" w:rsidR="00000000" w:rsidRPr="00000000">
        <w:rPr>
          <w:b w:val="1"/>
          <w:highlight w:val="white"/>
          <w:rtl w:val="0"/>
        </w:rPr>
        <w:t xml:space="preserve">Risk:</w:t>
      </w:r>
      <w:r w:rsidDel="00000000" w:rsidR="00000000" w:rsidRPr="00000000">
        <w:rPr>
          <w:highlight w:val="white"/>
          <w:rtl w:val="0"/>
        </w:rPr>
        <w:t xml:space="preserve"> Municipalities may face challenges maintaining standards critical to climate adaptation and water protection.</w:t>
      </w:r>
    </w:p>
    <w:p w:rsidR="00000000" w:rsidDel="00000000" w:rsidP="00000000" w:rsidRDefault="00000000" w:rsidRPr="00000000" w14:paraId="00000017">
      <w:pPr>
        <w:pStyle w:val="Heading4"/>
        <w:keepNext w:val="0"/>
        <w:keepLines w:val="0"/>
        <w:spacing w:after="40" w:before="240" w:lineRule="auto"/>
        <w:ind w:left="720" w:hanging="360"/>
        <w:rPr>
          <w:b w:val="1"/>
          <w:color w:val="000000"/>
          <w:sz w:val="22"/>
          <w:szCs w:val="22"/>
          <w:highlight w:val="white"/>
        </w:rPr>
      </w:pPr>
      <w:bookmarkStart w:colFirst="0" w:colLast="0" w:name="_1jjro9h46tft" w:id="2"/>
      <w:bookmarkEnd w:id="2"/>
      <w:r w:rsidDel="00000000" w:rsidR="00000000" w:rsidRPr="00000000">
        <w:rPr>
          <w:b w:val="1"/>
          <w:color w:val="000000"/>
          <w:sz w:val="22"/>
          <w:szCs w:val="22"/>
          <w:highlight w:val="white"/>
          <w:rtl w:val="0"/>
        </w:rPr>
        <w:t xml:space="preserve">Schedule 8 – Ontario Water Resources Act</w:t>
      </w:r>
    </w:p>
    <w:p w:rsidR="00000000" w:rsidDel="00000000" w:rsidP="00000000" w:rsidRDefault="00000000" w:rsidRPr="00000000" w14:paraId="00000018">
      <w:pPr>
        <w:numPr>
          <w:ilvl w:val="0"/>
          <w:numId w:val="2"/>
        </w:numPr>
        <w:spacing w:after="0" w:afterAutospacing="0" w:before="240" w:lineRule="auto"/>
        <w:ind w:left="720" w:hanging="360"/>
        <w:rPr>
          <w:highlight w:val="white"/>
        </w:rPr>
      </w:pPr>
      <w:r w:rsidDel="00000000" w:rsidR="00000000" w:rsidRPr="00000000">
        <w:rPr>
          <w:b w:val="1"/>
          <w:highlight w:val="white"/>
          <w:rtl w:val="0"/>
        </w:rPr>
        <w:t xml:space="preserve">Concern:</w:t>
      </w:r>
      <w:r w:rsidDel="00000000" w:rsidR="00000000" w:rsidRPr="00000000">
        <w:rPr>
          <w:highlight w:val="white"/>
          <w:rtl w:val="0"/>
        </w:rPr>
        <w:t xml:space="preserve"> Expanded application to large agricultural sewage works lacks clear oversight requirements.</w:t>
      </w:r>
    </w:p>
    <w:p w:rsidR="00000000" w:rsidDel="00000000" w:rsidP="00000000" w:rsidRDefault="00000000" w:rsidRPr="00000000" w14:paraId="00000019">
      <w:pPr>
        <w:numPr>
          <w:ilvl w:val="0"/>
          <w:numId w:val="2"/>
        </w:numPr>
        <w:spacing w:after="240" w:before="0" w:beforeAutospacing="0" w:lineRule="auto"/>
        <w:ind w:left="720" w:hanging="360"/>
        <w:rPr>
          <w:highlight w:val="white"/>
        </w:rPr>
      </w:pPr>
      <w:r w:rsidDel="00000000" w:rsidR="00000000" w:rsidRPr="00000000">
        <w:rPr>
          <w:b w:val="1"/>
          <w:highlight w:val="white"/>
          <w:rtl w:val="0"/>
        </w:rPr>
        <w:t xml:space="preserve">Risk:</w:t>
      </w:r>
      <w:r w:rsidDel="00000000" w:rsidR="00000000" w:rsidRPr="00000000">
        <w:rPr>
          <w:highlight w:val="white"/>
          <w:rtl w:val="0"/>
        </w:rPr>
        <w:t xml:space="preserve"> Increased risk to watershed health, source water protection, and compliance with environmental standards.</w:t>
      </w:r>
    </w:p>
    <w:p w:rsidR="00000000" w:rsidDel="00000000" w:rsidP="00000000" w:rsidRDefault="00000000" w:rsidRPr="00000000" w14:paraId="0000001A">
      <w:pPr>
        <w:pStyle w:val="Heading4"/>
        <w:keepNext w:val="0"/>
        <w:keepLines w:val="0"/>
        <w:spacing w:after="40" w:before="240" w:lineRule="auto"/>
        <w:ind w:left="720" w:hanging="360"/>
        <w:rPr>
          <w:b w:val="1"/>
          <w:color w:val="000000"/>
          <w:sz w:val="22"/>
          <w:szCs w:val="22"/>
          <w:highlight w:val="white"/>
        </w:rPr>
      </w:pPr>
      <w:bookmarkStart w:colFirst="0" w:colLast="0" w:name="_1ighp2aydrgo" w:id="3"/>
      <w:bookmarkEnd w:id="3"/>
      <w:r w:rsidDel="00000000" w:rsidR="00000000" w:rsidRPr="00000000">
        <w:rPr>
          <w:b w:val="1"/>
          <w:color w:val="000000"/>
          <w:sz w:val="22"/>
          <w:szCs w:val="22"/>
          <w:highlight w:val="white"/>
          <w:rtl w:val="0"/>
        </w:rPr>
        <w:t xml:space="preserve">Schedule 10 – Planning Act</w:t>
      </w:r>
    </w:p>
    <w:p w:rsidR="00000000" w:rsidDel="00000000" w:rsidP="00000000" w:rsidRDefault="00000000" w:rsidRPr="00000000" w14:paraId="0000001B">
      <w:pPr>
        <w:numPr>
          <w:ilvl w:val="0"/>
          <w:numId w:val="4"/>
        </w:numPr>
        <w:spacing w:after="0" w:afterAutospacing="0" w:before="240" w:lineRule="auto"/>
        <w:ind w:left="720" w:hanging="360"/>
        <w:rPr>
          <w:highlight w:val="white"/>
        </w:rPr>
      </w:pPr>
      <w:r w:rsidDel="00000000" w:rsidR="00000000" w:rsidRPr="00000000">
        <w:rPr>
          <w:b w:val="1"/>
          <w:highlight w:val="white"/>
          <w:rtl w:val="0"/>
        </w:rPr>
        <w:t xml:space="preserve">Concern:</w:t>
      </w:r>
      <w:r w:rsidDel="00000000" w:rsidR="00000000" w:rsidRPr="00000000">
        <w:rPr>
          <w:highlight w:val="white"/>
          <w:rtl w:val="0"/>
        </w:rPr>
        <w:t xml:space="preserve"> Ministerial discretion to override policy statements and reduced local planning authority undermines transparency.</w:t>
      </w:r>
    </w:p>
    <w:p w:rsidR="00000000" w:rsidDel="00000000" w:rsidP="00000000" w:rsidRDefault="00000000" w:rsidRPr="00000000" w14:paraId="0000001C">
      <w:pPr>
        <w:numPr>
          <w:ilvl w:val="0"/>
          <w:numId w:val="4"/>
        </w:numPr>
        <w:spacing w:after="240" w:before="0" w:beforeAutospacing="0" w:lineRule="auto"/>
        <w:ind w:left="720" w:hanging="360"/>
        <w:rPr>
          <w:highlight w:val="white"/>
        </w:rPr>
      </w:pPr>
      <w:r w:rsidDel="00000000" w:rsidR="00000000" w:rsidRPr="00000000">
        <w:rPr>
          <w:b w:val="1"/>
          <w:highlight w:val="white"/>
          <w:rtl w:val="0"/>
        </w:rPr>
        <w:t xml:space="preserve">Risk:</w:t>
      </w:r>
      <w:r w:rsidDel="00000000" w:rsidR="00000000" w:rsidRPr="00000000">
        <w:rPr>
          <w:highlight w:val="white"/>
          <w:rtl w:val="0"/>
        </w:rPr>
        <w:t xml:space="preserve"> Climate and environmental considerations may be subordinated to speed of development.</w:t>
      </w:r>
    </w:p>
    <w:p w:rsidR="00000000" w:rsidDel="00000000" w:rsidP="00000000" w:rsidRDefault="00000000" w:rsidRPr="00000000" w14:paraId="0000001D">
      <w:pPr>
        <w:pStyle w:val="Heading4"/>
        <w:keepNext w:val="0"/>
        <w:keepLines w:val="0"/>
        <w:spacing w:after="40" w:before="240" w:lineRule="auto"/>
        <w:ind w:left="720" w:hanging="360"/>
        <w:rPr>
          <w:b w:val="1"/>
          <w:color w:val="000000"/>
          <w:sz w:val="22"/>
          <w:szCs w:val="22"/>
          <w:highlight w:val="white"/>
        </w:rPr>
      </w:pPr>
      <w:bookmarkStart w:colFirst="0" w:colLast="0" w:name="_l5ojkvtr7to" w:id="4"/>
      <w:bookmarkEnd w:id="4"/>
      <w:r w:rsidDel="00000000" w:rsidR="00000000" w:rsidRPr="00000000">
        <w:rPr>
          <w:b w:val="1"/>
          <w:color w:val="000000"/>
          <w:sz w:val="22"/>
          <w:szCs w:val="22"/>
          <w:highlight w:val="white"/>
          <w:rtl w:val="0"/>
        </w:rPr>
        <w:t xml:space="preserve">Schedule 11 – Public Transportation and Highway Improvement Act</w:t>
      </w:r>
    </w:p>
    <w:p w:rsidR="00000000" w:rsidDel="00000000" w:rsidP="00000000" w:rsidRDefault="00000000" w:rsidRPr="00000000" w14:paraId="0000001E">
      <w:pPr>
        <w:numPr>
          <w:ilvl w:val="0"/>
          <w:numId w:val="7"/>
        </w:numPr>
        <w:spacing w:after="0" w:afterAutospacing="0" w:before="240" w:lineRule="auto"/>
        <w:ind w:left="720" w:hanging="360"/>
        <w:rPr>
          <w:highlight w:val="white"/>
        </w:rPr>
      </w:pPr>
      <w:r w:rsidDel="00000000" w:rsidR="00000000" w:rsidRPr="00000000">
        <w:rPr>
          <w:b w:val="1"/>
          <w:highlight w:val="white"/>
          <w:rtl w:val="0"/>
        </w:rPr>
        <w:t xml:space="preserve">Concern:</w:t>
      </w:r>
      <w:r w:rsidDel="00000000" w:rsidR="00000000" w:rsidRPr="00000000">
        <w:rPr>
          <w:highlight w:val="white"/>
          <w:rtl w:val="0"/>
        </w:rPr>
        <w:t xml:space="preserve"> Removal of legal recourse and broad regulatory discretion weakens accountability for highway and bridge projects.</w:t>
      </w:r>
    </w:p>
    <w:p w:rsidR="00000000" w:rsidDel="00000000" w:rsidP="00000000" w:rsidRDefault="00000000" w:rsidRPr="00000000" w14:paraId="0000001F">
      <w:pPr>
        <w:numPr>
          <w:ilvl w:val="0"/>
          <w:numId w:val="7"/>
        </w:numPr>
        <w:spacing w:after="240" w:before="0" w:beforeAutospacing="0" w:lineRule="auto"/>
        <w:ind w:left="720" w:hanging="360"/>
        <w:rPr>
          <w:highlight w:val="white"/>
        </w:rPr>
      </w:pPr>
      <w:r w:rsidDel="00000000" w:rsidR="00000000" w:rsidRPr="00000000">
        <w:rPr>
          <w:b w:val="1"/>
          <w:highlight w:val="white"/>
          <w:rtl w:val="0"/>
        </w:rPr>
        <w:t xml:space="preserve">Risk:</w:t>
      </w:r>
      <w:r w:rsidDel="00000000" w:rsidR="00000000" w:rsidRPr="00000000">
        <w:rPr>
          <w:highlight w:val="white"/>
          <w:rtl w:val="0"/>
        </w:rPr>
        <w:t xml:space="preserve"> Potential for infrastructure projects that increase emissions or degrade habitats without adequate oversight.</w:t>
      </w:r>
    </w:p>
    <w:p w:rsidR="00000000" w:rsidDel="00000000" w:rsidP="00000000" w:rsidRDefault="00000000" w:rsidRPr="00000000" w14:paraId="00000020">
      <w:pPr>
        <w:pStyle w:val="Heading4"/>
        <w:keepNext w:val="0"/>
        <w:keepLines w:val="0"/>
        <w:spacing w:after="40" w:before="240" w:lineRule="auto"/>
        <w:ind w:left="720" w:hanging="360"/>
        <w:rPr>
          <w:b w:val="1"/>
          <w:color w:val="000000"/>
          <w:sz w:val="22"/>
          <w:szCs w:val="22"/>
          <w:highlight w:val="white"/>
        </w:rPr>
      </w:pPr>
      <w:bookmarkStart w:colFirst="0" w:colLast="0" w:name="_lmzth7dm1wrn" w:id="5"/>
      <w:bookmarkEnd w:id="5"/>
      <w:r w:rsidDel="00000000" w:rsidR="00000000" w:rsidRPr="00000000">
        <w:rPr>
          <w:b w:val="1"/>
          <w:color w:val="000000"/>
          <w:sz w:val="22"/>
          <w:szCs w:val="22"/>
          <w:highlight w:val="white"/>
          <w:rtl w:val="0"/>
        </w:rPr>
        <w:t xml:space="preserve">Schedule 15 – Transit-Oriented Communities Act, 2020</w:t>
      </w:r>
    </w:p>
    <w:p w:rsidR="00000000" w:rsidDel="00000000" w:rsidP="00000000" w:rsidRDefault="00000000" w:rsidRPr="00000000" w14:paraId="00000021">
      <w:pPr>
        <w:numPr>
          <w:ilvl w:val="0"/>
          <w:numId w:val="11"/>
        </w:numPr>
        <w:spacing w:after="0" w:afterAutospacing="0" w:before="240" w:lineRule="auto"/>
        <w:ind w:left="720" w:hanging="360"/>
        <w:rPr>
          <w:highlight w:val="white"/>
        </w:rPr>
      </w:pPr>
      <w:r w:rsidDel="00000000" w:rsidR="00000000" w:rsidRPr="00000000">
        <w:rPr>
          <w:b w:val="1"/>
          <w:highlight w:val="white"/>
          <w:rtl w:val="0"/>
        </w:rPr>
        <w:t xml:space="preserve">Concern:</w:t>
      </w:r>
      <w:r w:rsidDel="00000000" w:rsidR="00000000" w:rsidRPr="00000000">
        <w:rPr>
          <w:highlight w:val="white"/>
          <w:rtl w:val="0"/>
        </w:rPr>
        <w:t xml:space="preserve"> Ministerial agreements with landowners bypass municipal and public planning processes.</w:t>
      </w:r>
    </w:p>
    <w:p w:rsidR="00000000" w:rsidDel="00000000" w:rsidP="00000000" w:rsidRDefault="00000000" w:rsidRPr="00000000" w14:paraId="00000022">
      <w:pPr>
        <w:numPr>
          <w:ilvl w:val="0"/>
          <w:numId w:val="11"/>
        </w:numPr>
        <w:spacing w:after="240" w:before="0" w:beforeAutospacing="0" w:lineRule="auto"/>
        <w:ind w:left="720" w:hanging="360"/>
        <w:rPr>
          <w:highlight w:val="white"/>
        </w:rPr>
      </w:pPr>
      <w:r w:rsidDel="00000000" w:rsidR="00000000" w:rsidRPr="00000000">
        <w:rPr>
          <w:b w:val="1"/>
          <w:highlight w:val="white"/>
          <w:rtl w:val="0"/>
        </w:rPr>
        <w:t xml:space="preserve">Risk:</w:t>
      </w:r>
      <w:r w:rsidDel="00000000" w:rsidR="00000000" w:rsidRPr="00000000">
        <w:rPr>
          <w:highlight w:val="white"/>
          <w:rtl w:val="0"/>
        </w:rPr>
        <w:t xml:space="preserve"> Development may prioritize expediency over climate-smart design, energy efficiency, and ecosystem protection.</w:t>
      </w:r>
    </w:p>
    <w:p w:rsidR="00000000" w:rsidDel="00000000" w:rsidP="00000000" w:rsidRDefault="00000000" w:rsidRPr="00000000" w14:paraId="00000023">
      <w:pPr>
        <w:pStyle w:val="Heading4"/>
        <w:keepNext w:val="0"/>
        <w:keepLines w:val="0"/>
        <w:spacing w:after="40" w:before="240" w:lineRule="auto"/>
        <w:ind w:left="720" w:hanging="360"/>
        <w:rPr>
          <w:b w:val="1"/>
          <w:color w:val="000000"/>
          <w:sz w:val="22"/>
          <w:szCs w:val="22"/>
          <w:highlight w:val="white"/>
        </w:rPr>
      </w:pPr>
      <w:bookmarkStart w:colFirst="0" w:colLast="0" w:name="_sa5xdqerbuow" w:id="6"/>
      <w:bookmarkEnd w:id="6"/>
      <w:r w:rsidDel="00000000" w:rsidR="00000000" w:rsidRPr="00000000">
        <w:rPr>
          <w:b w:val="1"/>
          <w:color w:val="000000"/>
          <w:sz w:val="22"/>
          <w:szCs w:val="22"/>
          <w:highlight w:val="white"/>
          <w:rtl w:val="0"/>
        </w:rPr>
        <w:t xml:space="preserve">Schedule 16 – Water and Wastewater Public Corporations Act, 2025</w:t>
      </w:r>
    </w:p>
    <w:p w:rsidR="00000000" w:rsidDel="00000000" w:rsidP="00000000" w:rsidRDefault="00000000" w:rsidRPr="00000000" w14:paraId="00000024">
      <w:pPr>
        <w:numPr>
          <w:ilvl w:val="0"/>
          <w:numId w:val="6"/>
        </w:numPr>
        <w:spacing w:after="0" w:afterAutospacing="0" w:before="240" w:lineRule="auto"/>
        <w:ind w:left="720" w:hanging="360"/>
        <w:rPr>
          <w:highlight w:val="white"/>
        </w:rPr>
      </w:pPr>
      <w:r w:rsidDel="00000000" w:rsidR="00000000" w:rsidRPr="00000000">
        <w:rPr>
          <w:b w:val="1"/>
          <w:highlight w:val="white"/>
          <w:rtl w:val="0"/>
        </w:rPr>
        <w:t xml:space="preserve">Concern:</w:t>
      </w:r>
      <w:r w:rsidDel="00000000" w:rsidR="00000000" w:rsidRPr="00000000">
        <w:rPr>
          <w:highlight w:val="white"/>
          <w:rtl w:val="0"/>
        </w:rPr>
        <w:t xml:space="preserve"> Ministerial control over corporate water service providers may reduce transparency and local accountability.</w:t>
      </w:r>
    </w:p>
    <w:p w:rsidR="00000000" w:rsidDel="00000000" w:rsidP="00000000" w:rsidRDefault="00000000" w:rsidRPr="00000000" w14:paraId="00000025">
      <w:pPr>
        <w:numPr>
          <w:ilvl w:val="0"/>
          <w:numId w:val="6"/>
        </w:numPr>
        <w:spacing w:after="240" w:before="0" w:beforeAutospacing="0" w:lineRule="auto"/>
        <w:ind w:left="720" w:hanging="360"/>
        <w:rPr>
          <w:highlight w:val="white"/>
        </w:rPr>
      </w:pPr>
      <w:r w:rsidDel="00000000" w:rsidR="00000000" w:rsidRPr="00000000">
        <w:rPr>
          <w:b w:val="1"/>
          <w:highlight w:val="white"/>
          <w:rtl w:val="0"/>
        </w:rPr>
        <w:t xml:space="preserve">Risk:</w:t>
      </w:r>
      <w:r w:rsidDel="00000000" w:rsidR="00000000" w:rsidRPr="00000000">
        <w:rPr>
          <w:highlight w:val="white"/>
          <w:rtl w:val="0"/>
        </w:rPr>
        <w:t xml:space="preserve"> Water infrastructure decisions may not reflect climate-adaptive management or long-term sustainability.</w: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ind w:left="720" w:hanging="360"/>
        <w:rPr>
          <w:color w:val="000000"/>
          <w:sz w:val="22"/>
          <w:szCs w:val="22"/>
          <w:highlight w:val="white"/>
        </w:rPr>
      </w:pPr>
      <w:bookmarkStart w:colFirst="0" w:colLast="0" w:name="_pe4mbff3qi10" w:id="7"/>
      <w:bookmarkEnd w:id="7"/>
      <w:r w:rsidDel="00000000" w:rsidR="00000000" w:rsidRPr="00000000">
        <w:rPr>
          <w:b w:val="1"/>
          <w:color w:val="000000"/>
          <w:sz w:val="22"/>
          <w:szCs w:val="22"/>
          <w:highlight w:val="white"/>
          <w:rtl w:val="0"/>
        </w:rPr>
        <w:t xml:space="preserve">Recommendations: </w:t>
      </w:r>
      <w:r w:rsidDel="00000000" w:rsidR="00000000" w:rsidRPr="00000000">
        <w:rPr>
          <w:color w:val="000000"/>
          <w:sz w:val="22"/>
          <w:szCs w:val="22"/>
          <w:highlight w:val="white"/>
          <w:rtl w:val="0"/>
        </w:rPr>
        <w:t xml:space="preserve">I respectfully request that this committee:</w:t>
      </w:r>
    </w:p>
    <w:p w:rsidR="00000000" w:rsidDel="00000000" w:rsidP="00000000" w:rsidRDefault="00000000" w:rsidRPr="00000000" w14:paraId="00000027">
      <w:pPr>
        <w:numPr>
          <w:ilvl w:val="0"/>
          <w:numId w:val="8"/>
        </w:numPr>
        <w:spacing w:after="0" w:afterAutospacing="0" w:before="240" w:lineRule="auto"/>
        <w:ind w:left="720" w:hanging="360"/>
        <w:rPr>
          <w:highlight w:val="white"/>
        </w:rPr>
      </w:pPr>
      <w:r w:rsidDel="00000000" w:rsidR="00000000" w:rsidRPr="00000000">
        <w:rPr>
          <w:highlight w:val="white"/>
          <w:rtl w:val="0"/>
        </w:rPr>
        <w:t xml:space="preserve">Reinstate environmental and climate impact assessments for projects affected by these schedules.</w:t>
      </w:r>
    </w:p>
    <w:p w:rsidR="00000000" w:rsidDel="00000000" w:rsidP="00000000" w:rsidRDefault="00000000" w:rsidRPr="00000000" w14:paraId="00000028">
      <w:pPr>
        <w:numPr>
          <w:ilvl w:val="0"/>
          <w:numId w:val="8"/>
        </w:numPr>
        <w:spacing w:after="0" w:afterAutospacing="0" w:before="0" w:beforeAutospacing="0" w:lineRule="auto"/>
        <w:ind w:left="720" w:hanging="360"/>
        <w:rPr>
          <w:highlight w:val="white"/>
        </w:rPr>
      </w:pPr>
      <w:r w:rsidDel="00000000" w:rsidR="00000000" w:rsidRPr="00000000">
        <w:rPr>
          <w:highlight w:val="white"/>
          <w:rtl w:val="0"/>
        </w:rPr>
        <w:t xml:space="preserve">Incorporate explicit climate, biodiversity, and watershed protections into development, transit, and water management decisions.</w:t>
      </w:r>
    </w:p>
    <w:p w:rsidR="00000000" w:rsidDel="00000000" w:rsidP="00000000" w:rsidRDefault="00000000" w:rsidRPr="00000000" w14:paraId="00000029">
      <w:pPr>
        <w:numPr>
          <w:ilvl w:val="0"/>
          <w:numId w:val="8"/>
        </w:numPr>
        <w:spacing w:after="240" w:before="0" w:beforeAutospacing="0" w:lineRule="auto"/>
        <w:ind w:left="720" w:hanging="360"/>
        <w:rPr>
          <w:highlight w:val="white"/>
        </w:rPr>
      </w:pPr>
      <w:r w:rsidDel="00000000" w:rsidR="00000000" w:rsidRPr="00000000">
        <w:rPr>
          <w:highlight w:val="white"/>
          <w:rtl w:val="0"/>
        </w:rPr>
        <w:t xml:space="preserve">Ensure meaningful public consultation and transparency in planning processes that will shape long-term environmental and climate outcomes.</w:t>
      </w:r>
    </w:p>
    <w:p w:rsidR="00000000" w:rsidDel="00000000" w:rsidP="00000000" w:rsidRDefault="00000000" w:rsidRPr="00000000" w14:paraId="0000002A">
      <w:pPr>
        <w:spacing w:after="240" w:before="240" w:lineRule="auto"/>
        <w:rPr>
          <w:highlight w:val="white"/>
        </w:rPr>
      </w:pPr>
      <w:r w:rsidDel="00000000" w:rsidR="00000000" w:rsidRPr="00000000">
        <w:rPr>
          <w:highlight w:val="white"/>
          <w:rtl w:val="0"/>
        </w:rPr>
        <w:t xml:space="preserve">Sincerely,</w:t>
      </w:r>
    </w:p>
    <w:p w:rsidR="00000000" w:rsidDel="00000000" w:rsidP="00000000" w:rsidRDefault="00000000" w:rsidRPr="00000000" w14:paraId="0000002B">
      <w:pPr>
        <w:spacing w:after="240" w:before="240" w:lineRule="auto"/>
        <w:rPr>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ola.org/en/legislative-business/bills/parliament-44/session-1/bill-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