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6"/>
        <w:keepNext w:val="0"/>
        <w:keepLines w:val="0"/>
        <w:spacing w:after="40" w:before="200" w:lineRule="auto"/>
        <w:rPr>
          <w:b w:val="1"/>
          <w:bCs w:val="1"/>
          <w:i w:val="0"/>
          <w:iCs w:val="0"/>
          <w:color w:val="000000"/>
        </w:rPr>
      </w:pPr>
      <w:bookmarkStart w:colFirst="0" w:colLast="0" w:name="_1h1liabfz20g" w:id="0"/>
      <w:bookmarkEnd w:id="0"/>
      <w:r w:rsidDel="00000000" w:rsidR="00000000" w:rsidRPr="00000000">
        <w:rPr>
          <w:b w:val="1"/>
          <w:bCs w:val="1"/>
          <w:i w:val="0"/>
          <w:iCs w:val="0"/>
          <w:color w:val="000000"/>
          <w:rtl w:val="0"/>
        </w:rPr>
        <w:t xml:space="preserve">Dear Minister McCarthy,</w:t>
      </w:r>
    </w:p>
    <w:p w:rsidR="00000000" w:rsidDel="00000000" w:rsidP="00000000" w:rsidRDefault="00000000" w:rsidRPr="00000000" w14:paraId="00000002">
      <w:pPr>
        <w:pStyle w:val="Heading6"/>
        <w:keepNext w:val="0"/>
        <w:keepLines w:val="0"/>
        <w:spacing w:after="40" w:before="200" w:lineRule="auto"/>
        <w:rPr>
          <w:b w:val="1"/>
          <w:bCs w:val="1"/>
        </w:rPr>
      </w:pPr>
      <w:bookmarkStart w:colFirst="0" w:colLast="0" w:name="_8f1xvgjmsnv6" w:id="1"/>
      <w:bookmarkEnd w:id="1"/>
      <w:r w:rsidDel="00000000" w:rsidR="00000000" w:rsidRPr="00000000">
        <w:rPr>
          <w:b w:val="1"/>
          <w:bCs w:val="1"/>
          <w:i w:val="0"/>
          <w:iCs w:val="0"/>
          <w:color w:val="000000"/>
          <w:rtl w:val="0"/>
        </w:rPr>
        <w:t xml:space="preserve">Re: </w:t>
      </w:r>
      <w:r w:rsidDel="00000000" w:rsidR="00000000" w:rsidRPr="00000000">
        <w:rPr>
          <w:i w:val="0"/>
          <w:iCs w:val="0"/>
          <w:color w:val="000000"/>
          <w:rtl w:val="0"/>
        </w:rPr>
        <w:t xml:space="preserve">former ERO  025-1133 </w:t>
      </w:r>
      <w:r w:rsidDel="00000000" w:rsidR="00000000" w:rsidRPr="00000000">
        <w:rPr>
          <w:rFonts w:ascii="Helvetica Neue" w:cs="Helvetica Neue" w:eastAsia="Helvetica Neue" w:hAnsi="Helvetica Neue"/>
          <w:i w:val="0"/>
          <w:iCs w:val="0"/>
          <w:color w:val="4d4d4d"/>
          <w:rtl w:val="0"/>
        </w:rPr>
        <w:t xml:space="preserve">Refining a protected corridor of land for future electricity transmission infrastructure in the Northwest Greater Toronto Area </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While I appreciate the attempt to more narrowly target only lands truly needed for transmission infrastructure and to reduce unnecessary impact through the Narrowed Area of Interest, I  would recommend explicitly stating the following in the amendment: </w:t>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b w:val="1"/>
          <w:bCs w:val="1"/>
          <w:rtl w:val="0"/>
        </w:rPr>
        <w:t xml:space="preserve">Freed lands should be returned to the Greenbelt</w:t>
        <w:br w:type="textWrapping"/>
      </w:r>
      <w:r w:rsidDel="00000000" w:rsidR="00000000" w:rsidRPr="00000000">
        <w:rPr>
          <w:rtl w:val="0"/>
        </w:rPr>
        <w:t xml:space="preserve">When lands currently under protection in the NAI are determined not to be required for transmission infrastructure, it should be ensured that the lands are “released”</w:t>
      </w:r>
      <w:r w:rsidDel="00000000" w:rsidR="00000000" w:rsidRPr="00000000">
        <w:rPr>
          <w:b w:val="1"/>
          <w:bCs w:val="1"/>
          <w:rtl w:val="0"/>
        </w:rPr>
        <w:t xml:space="preserve"> back into the Greenbelt</w:t>
      </w:r>
      <w:r w:rsidDel="00000000" w:rsidR="00000000" w:rsidRPr="00000000">
        <w:rPr>
          <w:rtl w:val="0"/>
        </w:rPr>
        <w:t xml:space="preserve">. This ensures those lands remain permanently protected and continue to deliver environmental, agricultural, hydrological, and ecological benefits.</w:t>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b w:val="1"/>
          <w:bCs w:val="1"/>
          <w:rtl w:val="0"/>
        </w:rPr>
        <w:t xml:space="preserve">No future development or boundary loosening without legislative action</w:t>
        <w:br w:type="textWrapping"/>
      </w:r>
      <w:r w:rsidDel="00000000" w:rsidR="00000000" w:rsidRPr="00000000">
        <w:rPr>
          <w:rtl w:val="0"/>
        </w:rPr>
        <w:t xml:space="preserve">The mechanism for that reintegration should include a legal safeguard: once lands are returned to the Greenbelt, they must not be eligible for any future removal, boundary adjustments, or development proposals except through full legislative amendment of the Greenbelt Act (or equivalent). In other words, the “return” must be irrevocable under regulation.</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b w:val="1"/>
          <w:bCs w:val="1"/>
          <w:rtl w:val="0"/>
        </w:rPr>
        <w:t xml:space="preserve">Greenbelt Statute Law Amendment Act, 2023 (Bill 136)</w:t>
        <w:br w:type="textWrapping"/>
      </w:r>
      <w:r w:rsidDel="00000000" w:rsidR="00000000" w:rsidRPr="00000000">
        <w:rPr>
          <w:rtl w:val="0"/>
        </w:rPr>
        <w:t xml:space="preserve">Ontario’s </w:t>
      </w:r>
      <w:r w:rsidDel="00000000" w:rsidR="00000000" w:rsidRPr="00000000">
        <w:rPr>
          <w:b w:val="1"/>
          <w:bCs w:val="1"/>
          <w:rtl w:val="0"/>
        </w:rPr>
        <w:t xml:space="preserve">Greenbelt Statute Law Amendment Act, 2023</w:t>
      </w:r>
      <w:r w:rsidDel="00000000" w:rsidR="00000000" w:rsidRPr="00000000">
        <w:rPr>
          <w:rtl w:val="0"/>
        </w:rPr>
        <w:t xml:space="preserve"> (Bill 136) has already embedded key protections and therefore releasing lands from the NAI for non‑transmission purposes (e.g. for housing or other development) would run counter to the spirit and letter of the statute’s protections.  </w:t>
      </w:r>
      <w:r w:rsidDel="00000000" w:rsidR="00000000" w:rsidRPr="00000000">
        <w:rPr>
          <w:rtl w:val="0"/>
        </w:rPr>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b w:val="1"/>
          <w:bCs w:val="1"/>
          <w:rtl w:val="0"/>
        </w:rPr>
        <w:t xml:space="preserve">Precaution against “land‑swapping” or loopholes</w:t>
        <w:br w:type="textWrapping"/>
      </w:r>
      <w:r w:rsidDel="00000000" w:rsidR="00000000" w:rsidRPr="00000000">
        <w:rPr>
          <w:rtl w:val="0"/>
        </w:rPr>
        <w:t xml:space="preserve">Any “release” from the NAI should not create precedent or a legal pathway for later development. The reintegration must be absolute and permanent. The North Gwillimbury Forest illustrates why: though the Province announced its addition to the Greenbelt in 2021, parts remain in procedural limbo. Only transparent, legislated inclusion and conservation authority oversight can guarantee lasting protection.</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b w:val="1"/>
          <w:bCs w:val="1"/>
          <w:rtl w:val="0"/>
        </w:rPr>
        <w:t xml:space="preserve">Transition provisions and clarity</w:t>
        <w:br w:type="textWrapping"/>
      </w:r>
      <w:r w:rsidDel="00000000" w:rsidR="00000000" w:rsidRPr="00000000">
        <w:rPr>
          <w:rtl w:val="0"/>
        </w:rPr>
        <w:t xml:space="preserve">The consultation and final decision should clearly specify:</w:t>
      </w:r>
    </w:p>
    <w:p w:rsidR="00000000" w:rsidDel="00000000" w:rsidP="00000000" w:rsidRDefault="00000000" w:rsidRPr="00000000" w14:paraId="00000009">
      <w:pPr>
        <w:numPr>
          <w:ilvl w:val="1"/>
          <w:numId w:val="1"/>
        </w:numPr>
        <w:spacing w:after="0" w:afterAutospacing="0" w:before="0" w:beforeAutospacing="0" w:lineRule="auto"/>
        <w:ind w:left="1440" w:hanging="360"/>
      </w:pPr>
      <w:r w:rsidDel="00000000" w:rsidR="00000000" w:rsidRPr="00000000">
        <w:rPr>
          <w:rtl w:val="0"/>
        </w:rPr>
        <w:t xml:space="preserve">The precise parcels to be returned to the Greenbelt (with mapping and survey reference).</w:t>
      </w:r>
    </w:p>
    <w:p w:rsidR="00000000" w:rsidDel="00000000" w:rsidP="00000000" w:rsidRDefault="00000000" w:rsidRPr="00000000" w14:paraId="0000000A">
      <w:pPr>
        <w:numPr>
          <w:ilvl w:val="1"/>
          <w:numId w:val="1"/>
        </w:numPr>
        <w:spacing w:after="0" w:afterAutospacing="0" w:before="0" w:beforeAutospacing="0" w:lineRule="auto"/>
        <w:ind w:left="1440" w:hanging="360"/>
      </w:pPr>
      <w:r w:rsidDel="00000000" w:rsidR="00000000" w:rsidRPr="00000000">
        <w:rPr>
          <w:rtl w:val="0"/>
        </w:rPr>
        <w:t xml:space="preserve">The timing of that return (e.g. immediately upon determination that transmission is not needed).</w:t>
      </w:r>
    </w:p>
    <w:p w:rsidR="00000000" w:rsidDel="00000000" w:rsidP="00000000" w:rsidRDefault="00000000" w:rsidRPr="00000000" w14:paraId="0000000B">
      <w:pPr>
        <w:numPr>
          <w:ilvl w:val="1"/>
          <w:numId w:val="1"/>
        </w:numPr>
        <w:spacing w:after="0" w:afterAutospacing="0" w:before="0" w:beforeAutospacing="0" w:lineRule="auto"/>
        <w:ind w:left="1440" w:hanging="360"/>
      </w:pPr>
      <w:r w:rsidDel="00000000" w:rsidR="00000000" w:rsidRPr="00000000">
        <w:rPr>
          <w:rtl w:val="0"/>
        </w:rPr>
        <w:t xml:space="preserve">The removal of any regulatory protections tied to NAI that might conflict with Greenbelt status.</w:t>
      </w:r>
    </w:p>
    <w:p w:rsidR="00000000" w:rsidDel="00000000" w:rsidP="00000000" w:rsidRDefault="00000000" w:rsidRPr="00000000" w14:paraId="0000000C">
      <w:pPr>
        <w:numPr>
          <w:ilvl w:val="1"/>
          <w:numId w:val="1"/>
        </w:numPr>
        <w:spacing w:after="0" w:afterAutospacing="0" w:before="0" w:beforeAutospacing="0" w:lineRule="auto"/>
        <w:ind w:left="1440" w:hanging="360"/>
      </w:pPr>
      <w:r w:rsidDel="00000000" w:rsidR="00000000" w:rsidRPr="00000000">
        <w:rPr>
          <w:rtl w:val="0"/>
        </w:rPr>
        <w:t xml:space="preserve">That if, in the future, transmission infrastructure is never built, no portion of those lands may ever be treated as “releaseable” for development.</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b w:val="1"/>
          <w:bCs w:val="1"/>
          <w:rtl w:val="0"/>
        </w:rPr>
        <w:t xml:space="preserve">Rationale – public interest, environmental integrity, climate resilience</w:t>
      </w:r>
    </w:p>
    <w:p w:rsidR="00000000" w:rsidDel="00000000" w:rsidP="00000000" w:rsidRDefault="00000000" w:rsidRPr="00000000" w14:paraId="0000000E">
      <w:pPr>
        <w:numPr>
          <w:ilvl w:val="1"/>
          <w:numId w:val="1"/>
        </w:numPr>
        <w:spacing w:after="0" w:afterAutospacing="0" w:before="0" w:beforeAutospacing="0" w:lineRule="auto"/>
        <w:ind w:left="1440" w:hanging="360"/>
      </w:pPr>
      <w:r w:rsidDel="00000000" w:rsidR="00000000" w:rsidRPr="00000000">
        <w:rPr>
          <w:rtl w:val="0"/>
        </w:rPr>
        <w:t xml:space="preserve">The Greenbelt is an irreplaceable environmental asset—supporting biodiversity, water resources, carbon sequestration, local agriculture, and climate adaptation.</w:t>
      </w:r>
    </w:p>
    <w:p w:rsidR="00000000" w:rsidDel="00000000" w:rsidP="00000000" w:rsidRDefault="00000000" w:rsidRPr="00000000" w14:paraId="0000000F">
      <w:pPr>
        <w:numPr>
          <w:ilvl w:val="1"/>
          <w:numId w:val="1"/>
        </w:numPr>
        <w:spacing w:after="0" w:afterAutospacing="0" w:before="0" w:beforeAutospacing="0" w:lineRule="auto"/>
        <w:ind w:left="1440" w:hanging="360"/>
      </w:pPr>
      <w:r w:rsidDel="00000000" w:rsidR="00000000" w:rsidRPr="00000000">
        <w:rPr>
          <w:rtl w:val="0"/>
        </w:rPr>
        <w:t xml:space="preserve">Given the many pressures for urban growth in the GTA, preserving as much Greenbelt land as possible is crucial.</w:t>
      </w:r>
    </w:p>
    <w:p w:rsidR="00000000" w:rsidDel="00000000" w:rsidP="00000000" w:rsidRDefault="00000000" w:rsidRPr="00000000" w14:paraId="00000010">
      <w:pPr>
        <w:numPr>
          <w:ilvl w:val="1"/>
          <w:numId w:val="1"/>
        </w:numPr>
        <w:spacing w:after="240" w:before="0" w:beforeAutospacing="0" w:lineRule="auto"/>
        <w:ind w:left="1440" w:hanging="360"/>
      </w:pPr>
      <w:r w:rsidDel="00000000" w:rsidR="00000000" w:rsidRPr="00000000">
        <w:rPr>
          <w:rtl w:val="0"/>
        </w:rPr>
        <w:t xml:space="preserve">Because the NAI was initially drawn broadly (as a buffer or “reservation”) rather than being based on exact engineering needs, it is reasonable and responsible to scale it back—but the default status of the surplus should be permanent protection. </w:t>
      </w:r>
      <w:r w:rsidDel="00000000" w:rsidR="00000000" w:rsidRPr="00000000">
        <w:rPr>
          <w:rtl w:val="0"/>
        </w:rPr>
      </w:r>
    </w:p>
    <w:p w:rsidR="00000000" w:rsidDel="00000000" w:rsidP="00000000" w:rsidRDefault="00000000" w:rsidRPr="00000000" w14:paraId="00000011">
      <w:pPr>
        <w:spacing w:after="240" w:before="240" w:lineRule="auto"/>
        <w:ind w:left="0" w:firstLine="0"/>
        <w:rPr/>
      </w:pPr>
      <w:r w:rsidDel="00000000" w:rsidR="00000000" w:rsidRPr="00000000">
        <w:rPr>
          <w:rtl w:val="0"/>
        </w:rPr>
        <w:t xml:space="preserve">I support the proposal’s principle that only lands strictly needed for transmission should remain in the NAI. I urge that freed lands be immediately and irrevocably returned to the Greenbelt, under the full force of the Greenbelt Statute Law Amendment Act, 2023 (Bill 136). We request that the Ministry include in its final regulation or plan amendment explicit language to that effect, accompanied by maps and legal definitions, and commit to no future removal except via legislative amendment.</w:t>
      </w:r>
    </w:p>
    <w:p w:rsidR="00000000" w:rsidDel="00000000" w:rsidP="00000000" w:rsidRDefault="00000000" w:rsidRPr="00000000" w14:paraId="00000012">
      <w:pPr>
        <w:spacing w:after="240" w:before="240" w:lineRule="auto"/>
        <w:rPr/>
      </w:pPr>
      <w:r w:rsidDel="00000000" w:rsidR="00000000" w:rsidRPr="00000000">
        <w:rPr>
          <w:rtl w:val="0"/>
        </w:rPr>
        <w:t xml:space="preserve">Sincerely,</w:t>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b w:val="0"/>
        <w:bCs w:val="0"/>
        <w:i w:val="0"/>
        <w:iCs w:val="0"/>
        <w:smallCaps w:val="0"/>
        <w:strike w:val="0"/>
        <w:color w:val="00000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